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7779">
      <w:pPr>
        <w:spacing w:line="360" w:lineRule="auto"/>
        <w:jc w:val="center"/>
        <w:rPr>
          <w:rFonts w:hint="eastAsia" w:ascii="宋体" w:hAnsi="宋体" w:eastAsia="宋体" w:cs="仿宋"/>
          <w:b/>
          <w:bCs/>
          <w:sz w:val="32"/>
          <w:szCs w:val="32"/>
        </w:rPr>
      </w:pPr>
      <w:r>
        <w:rPr>
          <w:rFonts w:hint="eastAsia" w:ascii="宋体" w:hAnsi="宋体" w:eastAsia="宋体" w:cs="仿宋"/>
          <w:b/>
          <w:bCs/>
          <w:sz w:val="32"/>
          <w:szCs w:val="32"/>
        </w:rPr>
        <w:t>答 疑 通 知 书</w:t>
      </w:r>
    </w:p>
    <w:p w14:paraId="1CDF3FB6">
      <w:pPr>
        <w:spacing w:line="360" w:lineRule="auto"/>
        <w:rPr>
          <w:rFonts w:hint="eastAsia" w:ascii="宋体" w:hAnsi="宋体" w:eastAsia="宋体" w:cs="仿宋"/>
          <w:sz w:val="24"/>
          <w:szCs w:val="24"/>
          <w:u w:val="single"/>
        </w:rPr>
      </w:pPr>
      <w:r>
        <w:rPr>
          <w:rFonts w:hint="eastAsia" w:ascii="宋体" w:hAnsi="宋体" w:eastAsia="宋体" w:cs="仿宋"/>
          <w:sz w:val="24"/>
          <w:szCs w:val="24"/>
        </w:rPr>
        <w:t>致各潜在投标人：</w:t>
      </w:r>
    </w:p>
    <w:p w14:paraId="3B9BF8C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针对</w:t>
      </w:r>
      <w:r>
        <w:rPr>
          <w:rFonts w:hint="eastAsia" w:ascii="宋体" w:hAnsi="宋体" w:eastAsia="宋体" w:cs="仿宋"/>
          <w:sz w:val="24"/>
          <w:szCs w:val="24"/>
          <w:u w:val="single"/>
        </w:rPr>
        <w:t>安徽皖维集团物资有限公司新能源重卡充电站建设EPC（二次）（ZJZB-2025-25418</w:t>
      </w:r>
      <w:r>
        <w:rPr>
          <w:rFonts w:ascii="宋体" w:hAnsi="宋体" w:eastAsia="宋体" w:cs="仿宋"/>
          <w:sz w:val="24"/>
          <w:szCs w:val="24"/>
          <w:u w:val="single"/>
        </w:rPr>
        <w:t>）</w:t>
      </w:r>
      <w:r>
        <w:rPr>
          <w:rFonts w:hint="eastAsia" w:ascii="宋体" w:hAnsi="宋体" w:eastAsia="宋体" w:cs="仿宋"/>
          <w:sz w:val="24"/>
          <w:szCs w:val="24"/>
        </w:rPr>
        <w:t>的部分疑问，我司已收悉，经招标人确认，现答复如下：</w:t>
      </w:r>
    </w:p>
    <w:p w14:paraId="591FE43F">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问题1：图纸中高压柜为HXGN15-12型，技术规范书描述为SF6充气柜，依据哪个为准？（如果采用充气柜，那高压断路器就不能按品牌里报价，那些品牌不生产充气柜内断路器）</w:t>
      </w:r>
    </w:p>
    <w:p w14:paraId="200BD1A3">
      <w:pPr>
        <w:spacing w:line="360" w:lineRule="auto"/>
        <w:rPr>
          <w:rFonts w:hint="eastAsia" w:ascii="宋体" w:hAnsi="宋体" w:eastAsia="宋体" w:cs="仿宋"/>
          <w:sz w:val="24"/>
          <w:szCs w:val="24"/>
        </w:rPr>
      </w:pPr>
      <w:r>
        <w:rPr>
          <w:rFonts w:hint="eastAsia"/>
        </w:rPr>
        <w:drawing>
          <wp:inline distT="0" distB="0" distL="0" distR="0">
            <wp:extent cx="5270500" cy="3449955"/>
            <wp:effectExtent l="0" t="0" r="6350" b="0"/>
            <wp:docPr id="1324444332" name="图片 1" descr="45e832747f4e1ac85bfc85b506adf8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44332" name="图片 1" descr="45e832747f4e1ac85bfc85b506adf864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0500" cy="3449955"/>
                    </a:xfrm>
                    <a:prstGeom prst="rect">
                      <a:avLst/>
                    </a:prstGeom>
                    <a:noFill/>
                    <a:ln>
                      <a:noFill/>
                    </a:ln>
                  </pic:spPr>
                </pic:pic>
              </a:graphicData>
            </a:graphic>
          </wp:inline>
        </w:drawing>
      </w:r>
    </w:p>
    <w:p w14:paraId="6262A5C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答复1：按照招标文件要求执行。</w:t>
      </w:r>
    </w:p>
    <w:p w14:paraId="727718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问题2：技术规范书描述干式变压器放置在户外，需要外壳（不锈钢304），是否是技术规范书描述有问题？</w:t>
      </w:r>
    </w:p>
    <w:p w14:paraId="3DA0CDE9">
      <w:pPr>
        <w:spacing w:line="360" w:lineRule="auto"/>
        <w:rPr>
          <w:rFonts w:ascii="宋体" w:hAnsi="宋体" w:eastAsia="宋体" w:cs="仿宋"/>
          <w:sz w:val="24"/>
          <w:szCs w:val="24"/>
        </w:rPr>
      </w:pPr>
      <w:r>
        <w:rPr>
          <w:rFonts w:hint="eastAsia"/>
        </w:rPr>
        <w:drawing>
          <wp:inline distT="0" distB="0" distL="0" distR="0">
            <wp:extent cx="5270500" cy="1117600"/>
            <wp:effectExtent l="0" t="0" r="6350" b="6350"/>
            <wp:docPr id="802044190" name="图片 2" descr="bdca547374f4d2594742521e272d8c6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44190" name="图片 2" descr="bdca547374f4d2594742521e272d8c6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0500" cy="1117600"/>
                    </a:xfrm>
                    <a:prstGeom prst="rect">
                      <a:avLst/>
                    </a:prstGeom>
                    <a:noFill/>
                    <a:ln>
                      <a:noFill/>
                    </a:ln>
                  </pic:spPr>
                </pic:pic>
              </a:graphicData>
            </a:graphic>
          </wp:inline>
        </w:drawing>
      </w:r>
    </w:p>
    <w:p w14:paraId="2139C390">
      <w:pPr>
        <w:spacing w:line="360" w:lineRule="auto"/>
        <w:rPr>
          <w:rFonts w:ascii="宋体" w:hAnsi="宋体" w:eastAsia="宋体" w:cs="仿宋"/>
          <w:sz w:val="24"/>
          <w:szCs w:val="24"/>
        </w:rPr>
      </w:pPr>
      <w:r>
        <w:rPr>
          <w:rFonts w:hint="eastAsia"/>
        </w:rPr>
        <w:drawing>
          <wp:inline distT="0" distB="0" distL="0" distR="0">
            <wp:extent cx="5270500" cy="2870200"/>
            <wp:effectExtent l="0" t="0" r="6350" b="6350"/>
            <wp:docPr id="1617111976" name="图片 3" descr="5941edf5190adcbc7f728cc9ed12ac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11976" name="图片 3" descr="5941edf5190adcbc7f728cc9ed12ac5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70200"/>
                    </a:xfrm>
                    <a:prstGeom prst="rect">
                      <a:avLst/>
                    </a:prstGeom>
                    <a:noFill/>
                    <a:ln>
                      <a:noFill/>
                    </a:ln>
                  </pic:spPr>
                </pic:pic>
              </a:graphicData>
            </a:graphic>
          </wp:inline>
        </w:drawing>
      </w:r>
    </w:p>
    <w:p w14:paraId="783AE2F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答复2：干式变压器可放在箱变变压器室，不需要外罩，若设计成独立装置需增加外壳。</w:t>
      </w:r>
    </w:p>
    <w:p w14:paraId="596EF30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问题3：技术规范书描述箱变内需放置一台电力监控柜（图纸中没有体现），是否需要预留位置？</w:t>
      </w:r>
    </w:p>
    <w:p w14:paraId="4A98C215">
      <w:pPr>
        <w:spacing w:line="360" w:lineRule="auto"/>
        <w:jc w:val="center"/>
        <w:rPr>
          <w:rFonts w:ascii="宋体" w:hAnsi="宋体" w:eastAsia="宋体" w:cs="仿宋"/>
          <w:sz w:val="24"/>
          <w:szCs w:val="24"/>
        </w:rPr>
      </w:pPr>
      <w:r>
        <w:rPr>
          <w:rFonts w:hint="eastAsia"/>
        </w:rPr>
        <w:drawing>
          <wp:inline distT="0" distB="0" distL="0" distR="0">
            <wp:extent cx="4110355" cy="4585970"/>
            <wp:effectExtent l="0" t="0" r="4445" b="5080"/>
            <wp:docPr id="1771050365" name="图片 4" descr="71b56e3cfc5e196f2c9045146e698c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50365" name="图片 4" descr="71b56e3cfc5e196f2c9045146e698c66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30545" cy="4608295"/>
                    </a:xfrm>
                    <a:prstGeom prst="rect">
                      <a:avLst/>
                    </a:prstGeom>
                    <a:noFill/>
                    <a:ln>
                      <a:noFill/>
                    </a:ln>
                  </pic:spPr>
                </pic:pic>
              </a:graphicData>
            </a:graphic>
          </wp:inline>
        </w:drawing>
      </w:r>
    </w:p>
    <w:p w14:paraId="06DA25AF">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答复3：不需要预留位置，有信号接口就可以。</w:t>
      </w:r>
    </w:p>
    <w:p w14:paraId="29E78ABA">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问题4：技术规范书描述低压测控单元具体是什么？图纸中低压只有指针式仪表，即使选用多功能仪表也满足不了保护及遥控等功能。</w:t>
      </w:r>
    </w:p>
    <w:p w14:paraId="609B8800">
      <w:pPr>
        <w:spacing w:line="360" w:lineRule="auto"/>
        <w:rPr>
          <w:rFonts w:ascii="宋体" w:hAnsi="宋体" w:eastAsia="宋体" w:cs="仿宋"/>
          <w:sz w:val="24"/>
          <w:szCs w:val="24"/>
        </w:rPr>
      </w:pPr>
      <w:r>
        <w:rPr>
          <w:rFonts w:hint="eastAsia"/>
        </w:rPr>
        <w:drawing>
          <wp:inline distT="0" distB="0" distL="0" distR="0">
            <wp:extent cx="5270500" cy="5257800"/>
            <wp:effectExtent l="0" t="0" r="6350" b="0"/>
            <wp:docPr id="154864582" name="图片 5" descr="2bad398a31e2318cb070e41488e2c9f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582" name="图片 5" descr="2bad398a31e2318cb070e41488e2c9fd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5257800"/>
                    </a:xfrm>
                    <a:prstGeom prst="rect">
                      <a:avLst/>
                    </a:prstGeom>
                    <a:noFill/>
                    <a:ln>
                      <a:noFill/>
                    </a:ln>
                  </pic:spPr>
                </pic:pic>
              </a:graphicData>
            </a:graphic>
          </wp:inline>
        </w:drawing>
      </w:r>
    </w:p>
    <w:p w14:paraId="66F8820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答复4：只需要监测功能。</w:t>
      </w:r>
    </w:p>
    <w:p w14:paraId="3057FB5A">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问题5：招标文件中对箱变高压断路器的描述有矛盾，是采用SF6断路器还是真空断路器？</w:t>
      </w:r>
    </w:p>
    <w:p w14:paraId="72DC27B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答复5：按照招标文件要求执行。</w:t>
      </w:r>
    </w:p>
    <w:p w14:paraId="2675BA1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问题6：箱变内是否需要做专用计量柜？</w:t>
      </w:r>
    </w:p>
    <w:p w14:paraId="1E90CA6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答复6：按照招标文件要求执行。</w:t>
      </w:r>
    </w:p>
    <w:p w14:paraId="2A2651E0">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问题7：箱变内电力监控系统要求将充电站电力监控信号接入已有的统一管理平台，此做法箱变厂家也不清楚要怎么做，是必须要求的做法吗？或者明确具体是需要实现什么功能？</w:t>
      </w:r>
    </w:p>
    <w:p w14:paraId="2FB0C7E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答复7：必须做，将箱变电气数据传到已有后台。</w:t>
      </w:r>
    </w:p>
    <w:p w14:paraId="6F943527">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8：招标文件第8页投标保证金说明虚拟子账号随项目变动，请认真核对账户信息，我方未在平台找到保证金相关信息，是以招标文件中提供的保证金信息为准吗？保证金打款时备注是否有要求填写哪些内容（如：项目编号+投标保证金）？</w:t>
      </w:r>
    </w:p>
    <w:p w14:paraId="4DCFEB4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答复8：以招标文件第二章投标人须知前附表3.4.1投标保证金中载明的账号为准。备注填写无实质性要求，为方便招标代理识别对应款项，请填写项目名称或编号+资金性质。</w:t>
      </w:r>
    </w:p>
    <w:p w14:paraId="58D1363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9：招标文件第18页3.7.3（2）要求，联合体投标的，除联合体协议书外，投标文件由联合体牵头人按上述规定加盖联合体牵头人单位电子印章和（或）法定代表人的个人电子印章/电子签名章。我方办理CA锁时，平台告知该平台只有公章，法定代表人的个人电子印章/电子签名章是否可以采用我公司已在其他平台办理的在有效期内的法定代表人的个人电子印章/电子签名章，或打印加盖实体个人印章/签名章后扫描放回投标文件内，以上两种贵司是否都认为在本次投标中为有效法定代表人签署？</w:t>
      </w:r>
    </w:p>
    <w:p w14:paraId="6D1ACA61">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答复9：以上两种本次投标都有效。</w:t>
      </w:r>
    </w:p>
    <w:p w14:paraId="5BFFEFC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10：招标文件只要求了在平台上传加密版投标文件，投标文件编制完成导出后，还有一个《需刻盘密封的文件夹》，此文件夹是否需要密封线下递交？如需，递交截止时间、递交地址、递交联系人、封袋、密封条等要求请明确告知。</w:t>
      </w:r>
    </w:p>
    <w:p w14:paraId="72C7D97A">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答复10：无需线下递交。</w:t>
      </w:r>
    </w:p>
    <w:p w14:paraId="29C2A139">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问题11：招标文件P26页，4.工作接口中“4.2施工及生活用水、排水、4.3施工及临建场地”，是指整个临建区域用水、排水、场地拆除、清理、平整工作，还是只负责该项目施工单位范围的相关工作？</w:t>
      </w:r>
    </w:p>
    <w:p w14:paraId="331447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答复11：只负责该项目施工单位范围的相关工作。</w:t>
      </w:r>
    </w:p>
    <w:p w14:paraId="6850E2D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12：招标文件P74页，“3.2.7在本合同履行过程中任何设计变更如果涉及费用变化时，其增加的费用均由承包人承担”，属于不平等条约，建议改为“在本合同履行过程非建设单位原因造成的设计变更如果涉及费用变化时，其增加的费用均由承包人承担”。</w:t>
      </w:r>
    </w:p>
    <w:p w14:paraId="30718173">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答复12：按照招标文件要求执行，不予修改。</w:t>
      </w:r>
    </w:p>
    <w:p w14:paraId="46D62C2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问题13：招标文件P106页，“开标一览表”中施工费报价（6%）、施工费报价（含税9%）、设备费报价（含税13%），招标文件P112页，“分项报价表”下“注：1.“单价”系指货物（服务）设计、生产、包装、运输、保险、装卸（至指定地点）、指导安装（招标文件要求报价）、调试、检验、验收、试运行、技术服务、培训等所有应由投标人承担的各项费用及税金。2.投标总价=分项报价表合计+质保期内备件及易损件分项报价表合计+专用工具分项报价表合计。”请问如何把报价表的金额分摊到开标一览表中？</w:t>
      </w:r>
    </w:p>
    <w:p w14:paraId="34028B2D">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答复1</w:t>
      </w:r>
      <w:r>
        <w:rPr>
          <w:rFonts w:hint="eastAsia" w:ascii="宋体" w:hAnsi="宋体" w:eastAsia="宋体" w:cs="仿宋"/>
          <w:sz w:val="24"/>
          <w:szCs w:val="24"/>
          <w:lang w:val="en-US" w:eastAsia="zh-CN"/>
        </w:rPr>
        <w:t>3</w:t>
      </w:r>
      <w:r>
        <w:rPr>
          <w:rFonts w:hint="eastAsia" w:ascii="宋体" w:hAnsi="宋体" w:eastAsia="宋体" w:cs="仿宋"/>
          <w:sz w:val="24"/>
          <w:szCs w:val="24"/>
        </w:rPr>
        <w:t>：按照招标文件要求执行。</w:t>
      </w:r>
      <w:bookmarkStart w:id="1" w:name="_GoBack"/>
      <w:bookmarkEnd w:id="1"/>
    </w:p>
    <w:p w14:paraId="7D00ADD4">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本项目其他内容不变，如招标文件中内容与上述</w:t>
      </w:r>
      <w:bookmarkStart w:id="0" w:name="OLE_LINK3"/>
      <w:r>
        <w:rPr>
          <w:rFonts w:hint="eastAsia" w:ascii="宋体" w:hAnsi="宋体" w:eastAsia="宋体" w:cs="仿宋"/>
          <w:sz w:val="24"/>
          <w:szCs w:val="24"/>
        </w:rPr>
        <w:t>答疑</w:t>
      </w:r>
      <w:bookmarkEnd w:id="0"/>
      <w:r>
        <w:rPr>
          <w:rFonts w:hint="eastAsia" w:ascii="宋体" w:hAnsi="宋体" w:eastAsia="宋体" w:cs="仿宋"/>
          <w:sz w:val="24"/>
          <w:szCs w:val="24"/>
        </w:rPr>
        <w:t>内容有冲突的，以答疑内容为准。</w:t>
      </w:r>
    </w:p>
    <w:p w14:paraId="56B56028">
      <w:pPr>
        <w:spacing w:line="360" w:lineRule="auto"/>
        <w:ind w:firstLine="480" w:firstLineChars="200"/>
        <w:jc w:val="right"/>
        <w:rPr>
          <w:rFonts w:hint="eastAsia" w:ascii="宋体" w:hAnsi="宋体" w:eastAsia="宋体" w:cs="仿宋"/>
          <w:sz w:val="24"/>
          <w:szCs w:val="24"/>
        </w:rPr>
      </w:pPr>
      <w:r>
        <w:rPr>
          <w:rFonts w:hint="eastAsia" w:ascii="宋体" w:hAnsi="宋体" w:eastAsia="宋体" w:cs="仿宋"/>
          <w:sz w:val="24"/>
          <w:szCs w:val="24"/>
        </w:rPr>
        <w:t>安徽皖维集团物资有限公司</w:t>
      </w:r>
    </w:p>
    <w:p w14:paraId="31F35D8F">
      <w:pPr>
        <w:spacing w:line="360" w:lineRule="auto"/>
        <w:ind w:firstLine="480" w:firstLineChars="200"/>
        <w:jc w:val="right"/>
        <w:rPr>
          <w:rFonts w:hint="eastAsia" w:ascii="宋体" w:hAnsi="宋体" w:eastAsia="宋体" w:cs="仿宋"/>
          <w:sz w:val="24"/>
          <w:szCs w:val="24"/>
        </w:rPr>
      </w:pPr>
      <w:r>
        <w:rPr>
          <w:rFonts w:hint="eastAsia" w:ascii="宋体" w:hAnsi="宋体" w:eastAsia="宋体" w:cs="仿宋"/>
          <w:sz w:val="24"/>
          <w:szCs w:val="24"/>
        </w:rPr>
        <w:t>中捷通信有限公司</w:t>
      </w:r>
    </w:p>
    <w:p w14:paraId="4E964F7A">
      <w:pPr>
        <w:spacing w:line="360" w:lineRule="auto"/>
        <w:jc w:val="right"/>
        <w:rPr>
          <w:rFonts w:hint="eastAsia" w:ascii="宋体" w:hAnsi="宋体" w:eastAsia="宋体" w:cs="仿宋"/>
          <w:sz w:val="24"/>
          <w:szCs w:val="24"/>
        </w:rPr>
      </w:pPr>
      <w:r>
        <w:rPr>
          <w:rFonts w:hint="eastAsia" w:ascii="宋体" w:hAnsi="宋体" w:eastAsia="宋体" w:cs="仿宋"/>
          <w:sz w:val="24"/>
          <w:szCs w:val="24"/>
        </w:rPr>
        <w:t>2026年1月12日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楶...">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MDE3NDM2ZjM2MjNmMjYwOTNkMzRiY2VjM2NhNGUifQ=="/>
  </w:docVars>
  <w:rsids>
    <w:rsidRoot w:val="002D241C"/>
    <w:rsid w:val="000269B6"/>
    <w:rsid w:val="00046D58"/>
    <w:rsid w:val="000567B6"/>
    <w:rsid w:val="00070E17"/>
    <w:rsid w:val="0008083A"/>
    <w:rsid w:val="00092CFC"/>
    <w:rsid w:val="000E24B4"/>
    <w:rsid w:val="0010382F"/>
    <w:rsid w:val="00106AC1"/>
    <w:rsid w:val="00106D86"/>
    <w:rsid w:val="0011087E"/>
    <w:rsid w:val="00112C1E"/>
    <w:rsid w:val="001E6303"/>
    <w:rsid w:val="001F0CD6"/>
    <w:rsid w:val="001F3B40"/>
    <w:rsid w:val="00205AEE"/>
    <w:rsid w:val="002859CF"/>
    <w:rsid w:val="002A71FB"/>
    <w:rsid w:val="002D241C"/>
    <w:rsid w:val="002E15BB"/>
    <w:rsid w:val="002E7D49"/>
    <w:rsid w:val="00336813"/>
    <w:rsid w:val="003672F3"/>
    <w:rsid w:val="003852C8"/>
    <w:rsid w:val="003F5E91"/>
    <w:rsid w:val="00402305"/>
    <w:rsid w:val="00405506"/>
    <w:rsid w:val="00427D27"/>
    <w:rsid w:val="0044505C"/>
    <w:rsid w:val="004975C0"/>
    <w:rsid w:val="004D23DA"/>
    <w:rsid w:val="004E4127"/>
    <w:rsid w:val="004F01A1"/>
    <w:rsid w:val="00505E25"/>
    <w:rsid w:val="00506C7F"/>
    <w:rsid w:val="005073BB"/>
    <w:rsid w:val="00510BEF"/>
    <w:rsid w:val="005144BB"/>
    <w:rsid w:val="005221F3"/>
    <w:rsid w:val="00526182"/>
    <w:rsid w:val="0053185A"/>
    <w:rsid w:val="00542BC5"/>
    <w:rsid w:val="00567F5A"/>
    <w:rsid w:val="005879DF"/>
    <w:rsid w:val="005D793C"/>
    <w:rsid w:val="005E0407"/>
    <w:rsid w:val="005E5BBA"/>
    <w:rsid w:val="005F26DE"/>
    <w:rsid w:val="006109BD"/>
    <w:rsid w:val="00611949"/>
    <w:rsid w:val="00614B0C"/>
    <w:rsid w:val="0061528F"/>
    <w:rsid w:val="00615832"/>
    <w:rsid w:val="0061606D"/>
    <w:rsid w:val="00617E1E"/>
    <w:rsid w:val="0062120A"/>
    <w:rsid w:val="006643DE"/>
    <w:rsid w:val="006B2985"/>
    <w:rsid w:val="006C6AEA"/>
    <w:rsid w:val="006F0196"/>
    <w:rsid w:val="00707869"/>
    <w:rsid w:val="00731234"/>
    <w:rsid w:val="0073296E"/>
    <w:rsid w:val="007415DB"/>
    <w:rsid w:val="00742964"/>
    <w:rsid w:val="007438BC"/>
    <w:rsid w:val="00762858"/>
    <w:rsid w:val="00781450"/>
    <w:rsid w:val="007849E8"/>
    <w:rsid w:val="007957DD"/>
    <w:rsid w:val="007F01F2"/>
    <w:rsid w:val="007F5375"/>
    <w:rsid w:val="008067DC"/>
    <w:rsid w:val="00836F45"/>
    <w:rsid w:val="008479AD"/>
    <w:rsid w:val="008846B9"/>
    <w:rsid w:val="008E7A66"/>
    <w:rsid w:val="0091183F"/>
    <w:rsid w:val="009360F4"/>
    <w:rsid w:val="00942092"/>
    <w:rsid w:val="00A34212"/>
    <w:rsid w:val="00A359E3"/>
    <w:rsid w:val="00A456C7"/>
    <w:rsid w:val="00A45E63"/>
    <w:rsid w:val="00A97A18"/>
    <w:rsid w:val="00AB0CE2"/>
    <w:rsid w:val="00B06367"/>
    <w:rsid w:val="00B529CC"/>
    <w:rsid w:val="00B555E9"/>
    <w:rsid w:val="00B57F92"/>
    <w:rsid w:val="00B65868"/>
    <w:rsid w:val="00B94B7B"/>
    <w:rsid w:val="00BA06DC"/>
    <w:rsid w:val="00BB312B"/>
    <w:rsid w:val="00BF1766"/>
    <w:rsid w:val="00C722BF"/>
    <w:rsid w:val="00CD19A7"/>
    <w:rsid w:val="00CE12F4"/>
    <w:rsid w:val="00CF5F5A"/>
    <w:rsid w:val="00D15663"/>
    <w:rsid w:val="00D37CC3"/>
    <w:rsid w:val="00D512F0"/>
    <w:rsid w:val="00D7377A"/>
    <w:rsid w:val="00D84D21"/>
    <w:rsid w:val="00E30202"/>
    <w:rsid w:val="00E66F0D"/>
    <w:rsid w:val="00EA7A48"/>
    <w:rsid w:val="00EF7B98"/>
    <w:rsid w:val="00F013E8"/>
    <w:rsid w:val="00F12561"/>
    <w:rsid w:val="00F22CDC"/>
    <w:rsid w:val="00F4358B"/>
    <w:rsid w:val="00F443C8"/>
    <w:rsid w:val="00F8616B"/>
    <w:rsid w:val="00FA3D83"/>
    <w:rsid w:val="00FA7DA2"/>
    <w:rsid w:val="00FD6054"/>
    <w:rsid w:val="00FE038B"/>
    <w:rsid w:val="04904FA7"/>
    <w:rsid w:val="0932487E"/>
    <w:rsid w:val="0A0766EC"/>
    <w:rsid w:val="0A73514E"/>
    <w:rsid w:val="0DC10DA5"/>
    <w:rsid w:val="0E3C2BEF"/>
    <w:rsid w:val="137D703E"/>
    <w:rsid w:val="17081314"/>
    <w:rsid w:val="249B2C82"/>
    <w:rsid w:val="25E90563"/>
    <w:rsid w:val="290A4A78"/>
    <w:rsid w:val="2AEF6C22"/>
    <w:rsid w:val="2EBA2A9C"/>
    <w:rsid w:val="2FC82F97"/>
    <w:rsid w:val="35B069A7"/>
    <w:rsid w:val="36121410"/>
    <w:rsid w:val="44801C3A"/>
    <w:rsid w:val="45CA7611"/>
    <w:rsid w:val="4AE50A49"/>
    <w:rsid w:val="4D0E4287"/>
    <w:rsid w:val="50821724"/>
    <w:rsid w:val="57664CC0"/>
    <w:rsid w:val="5E7F3778"/>
    <w:rsid w:val="6062071A"/>
    <w:rsid w:val="64B61035"/>
    <w:rsid w:val="67B3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uiPriority w:val="99"/>
    <w:pPr>
      <w:jc w:val="left"/>
    </w:pPr>
  </w:style>
  <w:style w:type="paragraph" w:styleId="3">
    <w:name w:val="Date"/>
    <w:basedOn w:val="1"/>
    <w:next w:val="1"/>
    <w:link w:val="16"/>
    <w:semiHidden/>
    <w:unhideWhenUsed/>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日期 字符"/>
    <w:basedOn w:val="9"/>
    <w:link w:val="3"/>
    <w:semiHidden/>
    <w:qFormat/>
    <w:uiPriority w:val="99"/>
    <w:rPr>
      <w:kern w:val="2"/>
      <w:sz w:val="21"/>
      <w:szCs w:val="22"/>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paragraph" w:customStyle="1" w:styleId="19">
    <w:name w:val="Default"/>
    <w:qFormat/>
    <w:uiPriority w:val="0"/>
    <w:pPr>
      <w:widowControl w:val="0"/>
      <w:autoSpaceDE w:val="0"/>
      <w:autoSpaceDN w:val="0"/>
      <w:adjustRightInd w:val="0"/>
    </w:pPr>
    <w:rPr>
      <w:rFonts w:ascii="宋体.楶..." w:eastAsia="宋体.楶..." w:cs="宋体.楶..."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1652</Words>
  <Characters>1729</Characters>
  <Lines>60</Lines>
  <Paragraphs>30</Paragraphs>
  <TotalTime>3</TotalTime>
  <ScaleCrop>false</ScaleCrop>
  <LinksUpToDate>false</LinksUpToDate>
  <CharactersWithSpaces>1733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2023-12-12T01:32:00Z</dcterms:created>
  <dc:creator>F F</dc:creator>
  <cp:lastModifiedBy>24336</cp:lastModifiedBy>
  <cp:lastPrinted>2025-09-25T02:53:00Z</cp:lastPrinted>
  <dcterms:modified xsi:type="dcterms:W3CDTF">2026-01-12T08:20:38Z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83E6483AD45243E78AD858FD011A34D5_12</vt:lpwstr>
  </property>
  <property fmtid="{D5CDD505-2E9C-101B-9397-08002B2CF9AE}" pid="4" name="KSOTemplateDocerSaveRecord">
    <vt:lpwstr>eyJoZGlkIjoiMDgxYTVjZmM5ZmY3OGU2MDQ4NGJlZGI5ZTlkZjQxN2UiLCJ1c2VySWQiOiIxNjAzNTgxNTkwIn0=</vt:lpwstr>
  </property>
</Properties>
</file>