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6A3" w:rsidRDefault="002B4F86">
      <w:pPr>
        <w:pStyle w:val="a3"/>
        <w:tabs>
          <w:tab w:val="left" w:pos="0"/>
        </w:tabs>
        <w:autoSpaceDE w:val="0"/>
        <w:autoSpaceDN w:val="0"/>
        <w:adjustRightInd w:val="0"/>
        <w:spacing w:beforeLines="50" w:before="156" w:afterLines="50" w:after="156"/>
        <w:ind w:firstLineChars="0" w:firstLine="0"/>
        <w:jc w:val="center"/>
        <w:rPr>
          <w:rFonts w:asciiTheme="minorEastAsia" w:eastAsiaTheme="minorEastAsia" w:hAnsiTheme="minorEastAsia" w:cstheme="minorEastAsia"/>
          <w:b/>
          <w:bCs/>
          <w:kern w:val="0"/>
          <w:sz w:val="32"/>
          <w:szCs w:val="32"/>
        </w:rPr>
      </w:pPr>
      <w:bookmarkStart w:id="0" w:name="_Toc4053"/>
      <w:r>
        <w:rPr>
          <w:rFonts w:asciiTheme="minorEastAsia" w:eastAsiaTheme="minorEastAsia" w:hAnsiTheme="minorEastAsia" w:cstheme="minorEastAsia" w:hint="eastAsia"/>
          <w:b/>
          <w:bCs/>
          <w:kern w:val="0"/>
          <w:sz w:val="32"/>
          <w:szCs w:val="32"/>
        </w:rPr>
        <w:t>广州移动IDC机房框选简介</w:t>
      </w:r>
    </w:p>
    <w:p w:rsidR="003D06A3" w:rsidRDefault="003D06A3">
      <w:pPr>
        <w:pStyle w:val="a3"/>
        <w:tabs>
          <w:tab w:val="left" w:pos="0"/>
        </w:tabs>
        <w:autoSpaceDE w:val="0"/>
        <w:autoSpaceDN w:val="0"/>
        <w:adjustRightInd w:val="0"/>
        <w:spacing w:beforeLines="50" w:before="156" w:afterLines="50" w:after="156"/>
        <w:ind w:firstLineChars="0" w:firstLine="0"/>
        <w:jc w:val="left"/>
        <w:rPr>
          <w:rFonts w:asciiTheme="minorEastAsia" w:eastAsiaTheme="minorEastAsia" w:hAnsiTheme="minorEastAsia" w:cstheme="minorEastAsia"/>
          <w:kern w:val="0"/>
          <w:sz w:val="24"/>
          <w:szCs w:val="24"/>
        </w:rPr>
      </w:pPr>
    </w:p>
    <w:p w:rsidR="005C45BE" w:rsidRDefault="005C45BE" w:rsidP="005C45BE">
      <w:pPr>
        <w:pStyle w:val="a3"/>
        <w:tabs>
          <w:tab w:val="left" w:pos="0"/>
        </w:tabs>
        <w:autoSpaceDE w:val="0"/>
        <w:autoSpaceDN w:val="0"/>
        <w:adjustRightInd w:val="0"/>
        <w:spacing w:beforeLines="50" w:before="156" w:afterLines="50" w:after="156"/>
        <w:ind w:firstLineChars="300" w:firstLine="720"/>
        <w:jc w:val="left"/>
        <w:rPr>
          <w:rFonts w:asciiTheme="minorEastAsia" w:eastAsiaTheme="minorEastAsia" w:hAnsiTheme="minorEastAsia" w:cstheme="minorEastAsia"/>
          <w:kern w:val="0"/>
          <w:sz w:val="24"/>
          <w:szCs w:val="24"/>
        </w:rPr>
      </w:pPr>
      <w:r w:rsidRPr="005C45BE"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框选工作不涉及商务条件，结合“宽进”广泛引入机制，原则上符合项目准入条件的机房，可通过框选纳入合建机房储备资源库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。</w:t>
      </w:r>
    </w:p>
    <w:p w:rsidR="003D06A3" w:rsidRDefault="002B4F86">
      <w:pPr>
        <w:pStyle w:val="a3"/>
        <w:tabs>
          <w:tab w:val="left" w:pos="0"/>
        </w:tabs>
        <w:autoSpaceDE w:val="0"/>
        <w:autoSpaceDN w:val="0"/>
        <w:adjustRightInd w:val="0"/>
        <w:spacing w:beforeLines="50" w:before="156" w:afterLines="50" w:after="156"/>
        <w:ind w:firstLineChars="0" w:firstLine="0"/>
        <w:jc w:val="left"/>
        <w:rPr>
          <w:rFonts w:asciiTheme="minorEastAsia" w:eastAsiaTheme="minorEastAsia" w:hAnsiTheme="minorEastAsia" w:cstheme="minorEastAsia"/>
          <w:b/>
          <w:bCs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bCs/>
          <w:kern w:val="0"/>
          <w:sz w:val="24"/>
          <w:szCs w:val="24"/>
        </w:rPr>
        <w:t>一、实施原则</w:t>
      </w:r>
      <w:bookmarkEnd w:id="0"/>
    </w:p>
    <w:p w:rsidR="003D06A3" w:rsidRDefault="002B4F86">
      <w:pPr>
        <w:pStyle w:val="a3"/>
        <w:tabs>
          <w:tab w:val="left" w:pos="0"/>
        </w:tabs>
        <w:autoSpaceDE w:val="0"/>
        <w:autoSpaceDN w:val="0"/>
        <w:adjustRightInd w:val="0"/>
        <w:spacing w:beforeLines="50" w:before="156" w:afterLines="50" w:after="156"/>
        <w:ind w:firstLine="480"/>
        <w:jc w:val="left"/>
        <w:rPr>
          <w:rFonts w:asciiTheme="minorEastAsia" w:eastAsia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为了保证合作共建项目的规范性，规避审计风险，IDC合作共建项目须遵循以下原则：</w:t>
      </w:r>
    </w:p>
    <w:p w:rsidR="003D06A3" w:rsidRDefault="002B4F86">
      <w:pPr>
        <w:autoSpaceDE w:val="0"/>
        <w:autoSpaceDN w:val="0"/>
        <w:adjustRightInd w:val="0"/>
        <w:ind w:firstLineChars="250" w:firstLine="600"/>
        <w:jc w:val="left"/>
        <w:rPr>
          <w:rFonts w:asciiTheme="minorEastAsia" w:eastAsia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1、“四个统一”原则</w:t>
      </w:r>
    </w:p>
    <w:p w:rsidR="003D06A3" w:rsidRDefault="002B4F86">
      <w:pPr>
        <w:autoSpaceDE w:val="0"/>
        <w:autoSpaceDN w:val="0"/>
        <w:adjustRightInd w:val="0"/>
        <w:ind w:firstLineChars="250" w:firstLine="600"/>
        <w:jc w:val="left"/>
        <w:rPr>
          <w:rFonts w:asciiTheme="minorEastAsia" w:eastAsia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统一规划：移动公司统一对共建机房选址、标准、规模等按照进行规划；</w:t>
      </w:r>
    </w:p>
    <w:p w:rsidR="003D06A3" w:rsidRDefault="002B4F86">
      <w:pPr>
        <w:autoSpaceDE w:val="0"/>
        <w:autoSpaceDN w:val="0"/>
        <w:adjustRightInd w:val="0"/>
        <w:ind w:firstLineChars="250" w:firstLine="600"/>
        <w:jc w:val="left"/>
        <w:rPr>
          <w:rFonts w:asciiTheme="minorEastAsia" w:eastAsia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统一品牌：合作共建机房统一使用“中国移动”品牌；</w:t>
      </w:r>
    </w:p>
    <w:p w:rsidR="003D06A3" w:rsidRDefault="002B4F86">
      <w:pPr>
        <w:autoSpaceDE w:val="0"/>
        <w:autoSpaceDN w:val="0"/>
        <w:adjustRightInd w:val="0"/>
        <w:ind w:firstLineChars="250" w:firstLine="600"/>
        <w:jc w:val="left"/>
        <w:rPr>
          <w:rFonts w:asciiTheme="minorEastAsia" w:eastAsia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统一运营：合作共建机房纳入广东移动IDC机房运营管理体系，与自建机房同一标准运维；</w:t>
      </w:r>
    </w:p>
    <w:p w:rsidR="003D06A3" w:rsidRDefault="002B4F86">
      <w:pPr>
        <w:autoSpaceDE w:val="0"/>
        <w:autoSpaceDN w:val="0"/>
        <w:adjustRightInd w:val="0"/>
        <w:ind w:firstLineChars="250" w:firstLine="600"/>
        <w:jc w:val="left"/>
        <w:rPr>
          <w:rFonts w:asciiTheme="minorEastAsia" w:eastAsia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统一定价：共建机房须按照中国移动IDC机房等级标准进行评级，并遵从我司统一价格体系、统一销售流程。</w:t>
      </w:r>
    </w:p>
    <w:p w:rsidR="003D06A3" w:rsidRDefault="002B4F86">
      <w:pPr>
        <w:autoSpaceDE w:val="0"/>
        <w:autoSpaceDN w:val="0"/>
        <w:adjustRightInd w:val="0"/>
        <w:ind w:firstLineChars="250" w:firstLine="600"/>
        <w:jc w:val="left"/>
        <w:rPr>
          <w:rFonts w:asciiTheme="minorEastAsia" w:eastAsia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2、投资产权归属原则：合作共建机房产权遵从“谁投资产权归谁”原则。</w:t>
      </w:r>
    </w:p>
    <w:p w:rsidR="003D06A3" w:rsidRDefault="002B4F86">
      <w:pPr>
        <w:autoSpaceDE w:val="0"/>
        <w:autoSpaceDN w:val="0"/>
        <w:adjustRightInd w:val="0"/>
        <w:ind w:firstLineChars="250" w:firstLine="600"/>
        <w:jc w:val="left"/>
        <w:rPr>
          <w:rFonts w:asciiTheme="minorEastAsia" w:eastAsia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3、资格审查原则：</w:t>
      </w:r>
      <w:r w:rsidR="005C45BE" w:rsidRPr="005C45BE"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合作共建机房合作方必须为依法成立、正常运营，具有土地或者建筑产权或者承租权，并且具有相关IDC运营资质的公司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。</w:t>
      </w:r>
    </w:p>
    <w:p w:rsidR="003D06A3" w:rsidRDefault="003D06A3">
      <w:pPr>
        <w:rPr>
          <w:rFonts w:asciiTheme="minorEastAsia" w:eastAsiaTheme="minorEastAsia" w:hAnsiTheme="minorEastAsia" w:cstheme="minorEastAsia"/>
          <w:sz w:val="24"/>
          <w:szCs w:val="24"/>
        </w:rPr>
      </w:pPr>
    </w:p>
    <w:p w:rsidR="003D06A3" w:rsidRDefault="002B4F86">
      <w:pPr>
        <w:snapToGrid w:val="0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  <w:szCs w:val="24"/>
        </w:rPr>
        <w:t>二、框选目标</w:t>
      </w:r>
    </w:p>
    <w:p w:rsidR="003D06A3" w:rsidRDefault="002B4F86">
      <w:pPr>
        <w:snapToGrid w:val="0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本次框选目标是对广州移动IDC机房服务能力资源库进行补充，通过评审的参选方和机房将入围广州移动IDC资源库，</w:t>
      </w:r>
      <w:r w:rsidR="00DB166E" w:rsidRPr="00DB166E">
        <w:rPr>
          <w:rFonts w:asciiTheme="minorEastAsia" w:eastAsiaTheme="minorEastAsia" w:hAnsiTheme="minorEastAsia" w:cstheme="minorEastAsia" w:hint="eastAsia"/>
          <w:sz w:val="24"/>
          <w:szCs w:val="24"/>
        </w:rPr>
        <w:t>用于客户定制机房或标准机房的甄选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3D06A3" w:rsidRDefault="003D06A3">
      <w:pPr>
        <w:snapToGrid w:val="0"/>
        <w:outlineLvl w:val="0"/>
        <w:rPr>
          <w:rFonts w:asciiTheme="minorEastAsia" w:eastAsiaTheme="minorEastAsia" w:hAnsiTheme="minorEastAsia" w:cstheme="minorEastAsia"/>
          <w:b/>
          <w:sz w:val="24"/>
          <w:szCs w:val="24"/>
        </w:rPr>
      </w:pPr>
    </w:p>
    <w:p w:rsidR="003D06A3" w:rsidRDefault="002B4F86">
      <w:pPr>
        <w:snapToGrid w:val="0"/>
        <w:outlineLvl w:val="0"/>
        <w:rPr>
          <w:rFonts w:asciiTheme="minorEastAsia" w:eastAsiaTheme="minorEastAsia" w:hAnsiTheme="minorEastAsia" w:cstheme="minorEastAsia"/>
          <w:b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  <w:szCs w:val="24"/>
        </w:rPr>
        <w:t>三、框选</w:t>
      </w:r>
      <w:r w:rsidR="005C45BE">
        <w:rPr>
          <w:rFonts w:asciiTheme="minorEastAsia" w:eastAsiaTheme="minorEastAsia" w:hAnsiTheme="minorEastAsia" w:cstheme="minorEastAsia" w:hint="eastAsia"/>
          <w:b/>
          <w:sz w:val="24"/>
          <w:szCs w:val="24"/>
        </w:rPr>
        <w:t>入围标准</w:t>
      </w:r>
    </w:p>
    <w:p w:rsidR="005C45BE" w:rsidRPr="005C45BE" w:rsidRDefault="005C45BE" w:rsidP="005C45BE">
      <w:pPr>
        <w:snapToGrid w:val="0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1" w:name="_Toc28409"/>
      <w:r w:rsidRPr="005C45BE">
        <w:rPr>
          <w:rFonts w:asciiTheme="minorEastAsia" w:eastAsiaTheme="minorEastAsia" w:hAnsiTheme="minorEastAsia" w:cstheme="minorEastAsia"/>
          <w:sz w:val="24"/>
          <w:szCs w:val="24"/>
        </w:rPr>
        <w:t>合作方准入条件</w:t>
      </w:r>
      <w:r w:rsidRPr="005C45BE">
        <w:rPr>
          <w:rFonts w:asciiTheme="minorEastAsia" w:eastAsiaTheme="minorEastAsia" w:hAnsiTheme="minorEastAsia" w:cstheme="minorEastAsia" w:hint="eastAsia"/>
          <w:sz w:val="24"/>
          <w:szCs w:val="24"/>
        </w:rPr>
        <w:t>：</w:t>
      </w:r>
      <w:r w:rsidRPr="005C45BE">
        <w:rPr>
          <w:rFonts w:asciiTheme="minorEastAsia" w:eastAsiaTheme="minorEastAsia" w:hAnsiTheme="minorEastAsia" w:cstheme="minorEastAsia"/>
          <w:sz w:val="24"/>
          <w:szCs w:val="24"/>
        </w:rPr>
        <w:t>提供</w:t>
      </w:r>
      <w:r w:rsidRPr="005C45BE">
        <w:rPr>
          <w:rFonts w:asciiTheme="minorEastAsia" w:eastAsiaTheme="minorEastAsia" w:hAnsiTheme="minorEastAsia" w:cstheme="minorEastAsia" w:hint="eastAsia"/>
          <w:sz w:val="24"/>
          <w:szCs w:val="24"/>
        </w:rPr>
        <w:t>相关</w:t>
      </w:r>
      <w:r w:rsidRPr="005C45BE">
        <w:rPr>
          <w:rFonts w:asciiTheme="minorEastAsia" w:eastAsiaTheme="minorEastAsia" w:hAnsiTheme="minorEastAsia" w:cstheme="minorEastAsia"/>
          <w:sz w:val="24"/>
          <w:szCs w:val="24"/>
        </w:rPr>
        <w:t>资质材料。</w:t>
      </w:r>
    </w:p>
    <w:p w:rsidR="005C45BE" w:rsidRPr="005C45BE" w:rsidRDefault="005C45BE" w:rsidP="005C45BE">
      <w:pPr>
        <w:snapToGrid w:val="0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5C45BE">
        <w:rPr>
          <w:rFonts w:asciiTheme="minorEastAsia" w:eastAsiaTheme="minorEastAsia" w:hAnsiTheme="minorEastAsia" w:cstheme="minorEastAsia"/>
          <w:sz w:val="24"/>
          <w:szCs w:val="24"/>
        </w:rPr>
        <w:t>机房基础条件准入条件</w:t>
      </w:r>
      <w:r w:rsidRPr="005C45BE">
        <w:rPr>
          <w:rFonts w:asciiTheme="minorEastAsia" w:eastAsiaTheme="minorEastAsia" w:hAnsiTheme="minorEastAsia" w:cstheme="minorEastAsia" w:hint="eastAsia"/>
          <w:sz w:val="24"/>
          <w:szCs w:val="24"/>
        </w:rPr>
        <w:t>、其他准入条件：</w:t>
      </w:r>
      <w:r w:rsidRPr="005C45BE">
        <w:rPr>
          <w:rFonts w:asciiTheme="minorEastAsia" w:eastAsiaTheme="minorEastAsia" w:hAnsiTheme="minorEastAsia" w:cstheme="minorEastAsia"/>
          <w:sz w:val="24"/>
          <w:szCs w:val="24"/>
        </w:rPr>
        <w:t>可提供承诺函</w:t>
      </w:r>
      <w:r w:rsidRPr="005C45BE">
        <w:rPr>
          <w:rFonts w:asciiTheme="minorEastAsia" w:eastAsiaTheme="minorEastAsia" w:hAnsiTheme="minorEastAsia" w:cstheme="minorEastAsia" w:hint="eastAsia"/>
          <w:sz w:val="24"/>
          <w:szCs w:val="24"/>
        </w:rPr>
        <w:t>承诺</w:t>
      </w:r>
      <w:r w:rsidRPr="005C45BE">
        <w:rPr>
          <w:rFonts w:asciiTheme="minorEastAsia" w:eastAsiaTheme="minorEastAsia" w:hAnsiTheme="minorEastAsia" w:cstheme="minorEastAsia"/>
          <w:sz w:val="24"/>
          <w:szCs w:val="24"/>
        </w:rPr>
        <w:t>满足。</w:t>
      </w:r>
    </w:p>
    <w:p w:rsidR="003D06A3" w:rsidRPr="005C45BE" w:rsidRDefault="003D06A3">
      <w:pPr>
        <w:snapToGrid w:val="0"/>
        <w:outlineLvl w:val="0"/>
        <w:rPr>
          <w:rFonts w:asciiTheme="minorEastAsia" w:eastAsiaTheme="minorEastAsia" w:hAnsiTheme="minorEastAsia" w:cstheme="minorEastAsia"/>
          <w:b/>
          <w:sz w:val="24"/>
          <w:szCs w:val="24"/>
        </w:rPr>
      </w:pPr>
    </w:p>
    <w:p w:rsidR="003D06A3" w:rsidRDefault="002B4F86">
      <w:pPr>
        <w:snapToGrid w:val="0"/>
        <w:outlineLvl w:val="0"/>
        <w:rPr>
          <w:rFonts w:asciiTheme="minorEastAsia" w:eastAsiaTheme="minorEastAsia" w:hAnsiTheme="minorEastAsia" w:cstheme="minorEastAsia"/>
          <w:b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  <w:szCs w:val="24"/>
        </w:rPr>
        <w:t>四、框选范围</w:t>
      </w:r>
    </w:p>
    <w:p w:rsidR="003D06A3" w:rsidRDefault="002B4F86">
      <w:pPr>
        <w:snapToGrid w:val="0"/>
        <w:ind w:firstLineChars="200" w:firstLine="480"/>
        <w:outlineLvl w:val="0"/>
        <w:rPr>
          <w:rFonts w:asciiTheme="minorEastAsia" w:eastAsiaTheme="minorEastAsia" w:hAnsiTheme="minorEastAsia" w:cstheme="minorEastAsia"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lastRenderedPageBreak/>
        <w:t>机房终局机架数不低于</w:t>
      </w:r>
      <w:r w:rsidR="005C45BE">
        <w:rPr>
          <w:rFonts w:asciiTheme="minorEastAsia" w:eastAsiaTheme="minorEastAsia" w:hAnsiTheme="minorEastAsia" w:cstheme="minorEastAsia"/>
          <w:bCs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00个</w:t>
      </w:r>
      <w:r w:rsidR="008D52EE"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3</w:t>
      </w:r>
      <w:r w:rsidR="008D52EE">
        <w:rPr>
          <w:rFonts w:asciiTheme="minorEastAsia" w:eastAsiaTheme="minorEastAsia" w:hAnsiTheme="minorEastAsia" w:cstheme="minorEastAsia"/>
          <w:bCs/>
          <w:sz w:val="24"/>
          <w:szCs w:val="24"/>
        </w:rPr>
        <w:t>kw</w:t>
      </w:r>
      <w:r w:rsidR="008D52EE"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机柜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（</w:t>
      </w:r>
      <w:r w:rsidR="008D52EE"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或</w:t>
      </w:r>
      <w:r w:rsidR="008D52EE">
        <w:rPr>
          <w:rFonts w:asciiTheme="minorEastAsia" w:eastAsiaTheme="minorEastAsia" w:hAnsiTheme="minorEastAsia" w:cstheme="minorEastAsia"/>
          <w:bCs/>
          <w:sz w:val="24"/>
          <w:szCs w:val="24"/>
        </w:rPr>
        <w:t>等效功率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）。</w:t>
      </w:r>
    </w:p>
    <w:p w:rsidR="003D06A3" w:rsidRPr="00BD731D" w:rsidRDefault="003D06A3">
      <w:pPr>
        <w:snapToGrid w:val="0"/>
        <w:outlineLvl w:val="0"/>
        <w:rPr>
          <w:rFonts w:asciiTheme="minorEastAsia" w:eastAsiaTheme="minorEastAsia" w:hAnsiTheme="minorEastAsia" w:cstheme="minorEastAsia"/>
          <w:bCs/>
          <w:sz w:val="24"/>
          <w:szCs w:val="24"/>
        </w:rPr>
      </w:pPr>
    </w:p>
    <w:p w:rsidR="003D06A3" w:rsidRDefault="002B4F86">
      <w:pPr>
        <w:snapToGrid w:val="0"/>
        <w:outlineLvl w:val="0"/>
        <w:rPr>
          <w:rFonts w:asciiTheme="minorEastAsia" w:eastAsiaTheme="minorEastAsia" w:hAnsiTheme="minorEastAsia" w:cstheme="minorEastAsia"/>
          <w:b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  <w:szCs w:val="24"/>
        </w:rPr>
        <w:t>五、</w:t>
      </w:r>
      <w:bookmarkEnd w:id="1"/>
      <w:r w:rsidR="00BD731D">
        <w:rPr>
          <w:rFonts w:asciiTheme="minorEastAsia" w:eastAsiaTheme="minorEastAsia" w:hAnsiTheme="minorEastAsia" w:cstheme="minorEastAsia" w:hint="eastAsia"/>
          <w:b/>
          <w:sz w:val="24"/>
          <w:szCs w:val="24"/>
        </w:rPr>
        <w:t>分工界面</w:t>
      </w:r>
    </w:p>
    <w:p w:rsidR="00BD731D" w:rsidRPr="00BD731D" w:rsidRDefault="00BD731D" w:rsidP="00BD731D">
      <w:pPr>
        <w:pStyle w:val="1"/>
        <w:tabs>
          <w:tab w:val="left" w:pos="0"/>
        </w:tabs>
        <w:autoSpaceDE w:val="0"/>
        <w:autoSpaceDN w:val="0"/>
        <w:adjustRightInd w:val="0"/>
        <w:spacing w:beforeLines="50" w:before="156" w:afterLines="50" w:after="156"/>
        <w:ind w:firstLine="480"/>
        <w:jc w:val="left"/>
        <w:rPr>
          <w:rFonts w:asciiTheme="minorEastAsia" w:eastAsiaTheme="minorEastAsia" w:hAnsiTheme="minorEastAsia" w:cstheme="minorEastAsia"/>
          <w:bCs/>
          <w:sz w:val="24"/>
          <w:szCs w:val="24"/>
        </w:rPr>
      </w:pPr>
      <w:r w:rsidRPr="00BD731D"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建设方面我司不参与土建及动力配套，原则上应由合作方负责购地、土建、动力配套</w:t>
      </w:r>
      <w:r w:rsidRPr="00BD731D">
        <w:rPr>
          <w:rFonts w:asciiTheme="minorEastAsia" w:eastAsiaTheme="minorEastAsia" w:hAnsiTheme="minorEastAsia" w:cstheme="minorEastAsia"/>
          <w:bCs/>
          <w:sz w:val="24"/>
          <w:szCs w:val="24"/>
        </w:rPr>
        <w:t>、机房配套</w:t>
      </w:r>
      <w:r w:rsidRPr="00BD731D"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等机房建设，我司负责网络配套建设及机房运营；具体如下：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8"/>
        <w:gridCol w:w="2754"/>
        <w:gridCol w:w="1336"/>
        <w:gridCol w:w="1340"/>
        <w:gridCol w:w="1074"/>
      </w:tblGrid>
      <w:tr w:rsidR="00BD731D" w:rsidRPr="00BD731D" w:rsidTr="00BD731D">
        <w:trPr>
          <w:trHeight w:val="288"/>
          <w:jc w:val="center"/>
        </w:trPr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 xml:space="preserve">工作项 </w:t>
            </w:r>
          </w:p>
        </w:tc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BD731D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细项</w:t>
            </w:r>
            <w:bookmarkStart w:id="2" w:name="_GoBack"/>
            <w:bookmarkEnd w:id="2"/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移动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 xml:space="preserve">合作方 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客户</w:t>
            </w:r>
          </w:p>
        </w:tc>
      </w:tr>
      <w:tr w:rsidR="00BD731D" w:rsidRPr="00BD731D" w:rsidTr="00BD731D">
        <w:trPr>
          <w:trHeight w:val="288"/>
          <w:jc w:val="center"/>
        </w:trPr>
        <w:tc>
          <w:tcPr>
            <w:tcW w:w="12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机房建设</w:t>
            </w:r>
          </w:p>
        </w:tc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购地/租用物业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 xml:space="preserve">√ 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</w:tr>
      <w:tr w:rsidR="00BD731D" w:rsidRPr="00BD731D" w:rsidTr="00BD731D">
        <w:trPr>
          <w:trHeight w:val="562"/>
          <w:jc w:val="center"/>
        </w:trPr>
        <w:tc>
          <w:tcPr>
            <w:tcW w:w="12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31D" w:rsidRPr="00BD731D" w:rsidRDefault="00BD731D" w:rsidP="00950B64">
            <w:pPr>
              <w:widowControl/>
              <w:jc w:val="left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土建（机楼、装修、空调、消防、照明）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</w:tr>
      <w:tr w:rsidR="00BD731D" w:rsidRPr="00BD731D" w:rsidTr="00BD731D">
        <w:trPr>
          <w:trHeight w:val="288"/>
          <w:jc w:val="center"/>
        </w:trPr>
        <w:tc>
          <w:tcPr>
            <w:tcW w:w="12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31D" w:rsidRPr="00BD731D" w:rsidRDefault="00BD731D" w:rsidP="00950B64">
            <w:pPr>
              <w:widowControl/>
              <w:jc w:val="left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外电引入（高低压、变压器）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 xml:space="preserve">√ 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</w:tr>
      <w:tr w:rsidR="00BD731D" w:rsidRPr="00BD731D" w:rsidTr="00BD731D">
        <w:trPr>
          <w:trHeight w:val="288"/>
          <w:jc w:val="center"/>
        </w:trPr>
        <w:tc>
          <w:tcPr>
            <w:tcW w:w="12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31D" w:rsidRPr="00BD731D" w:rsidRDefault="00BD731D" w:rsidP="00950B64">
            <w:pPr>
              <w:widowControl/>
              <w:jc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配套建设</w:t>
            </w:r>
          </w:p>
        </w:tc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 xml:space="preserve">电源配套（UPS、列头柜） 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</w:tr>
      <w:tr w:rsidR="00BD731D" w:rsidRPr="00BD731D" w:rsidTr="00BD731D">
        <w:trPr>
          <w:trHeight w:val="288"/>
          <w:jc w:val="center"/>
        </w:trPr>
        <w:tc>
          <w:tcPr>
            <w:tcW w:w="12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31D" w:rsidRPr="00BD731D" w:rsidRDefault="00BD731D" w:rsidP="00950B64">
            <w:pPr>
              <w:widowControl/>
              <w:jc w:val="left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机房配套（机架、ODF、</w:t>
            </w:r>
            <w:r w:rsidRPr="00BD731D"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  <w:t>双路由楼间光纤</w:t>
            </w: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）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</w:tr>
      <w:tr w:rsidR="00BD731D" w:rsidRPr="00BD731D" w:rsidTr="00BD731D">
        <w:trPr>
          <w:trHeight w:val="288"/>
          <w:jc w:val="center"/>
        </w:trPr>
        <w:tc>
          <w:tcPr>
            <w:tcW w:w="12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31D" w:rsidRPr="00BD731D" w:rsidRDefault="00BD731D" w:rsidP="00950B64">
            <w:pPr>
              <w:widowControl/>
              <w:jc w:val="left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网络</w:t>
            </w:r>
            <w:r w:rsidRPr="00BD731D"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  <w:t>配套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</w:tr>
      <w:tr w:rsidR="00BD731D" w:rsidRPr="00BD731D" w:rsidTr="00BD731D">
        <w:trPr>
          <w:trHeight w:val="288"/>
          <w:jc w:val="center"/>
        </w:trPr>
        <w:tc>
          <w:tcPr>
            <w:tcW w:w="12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机房运营</w:t>
            </w:r>
          </w:p>
        </w:tc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业务品牌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</w:tr>
      <w:tr w:rsidR="00BD731D" w:rsidRPr="00BD731D" w:rsidTr="00BD731D">
        <w:trPr>
          <w:trHeight w:val="288"/>
          <w:jc w:val="center"/>
        </w:trPr>
        <w:tc>
          <w:tcPr>
            <w:tcW w:w="121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BD731D" w:rsidRPr="00BD731D" w:rsidRDefault="00BD731D" w:rsidP="00950B64">
            <w:pPr>
              <w:widowControl/>
              <w:jc w:val="left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业务拓展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</w:tr>
      <w:tr w:rsidR="00BD731D" w:rsidRPr="00BD731D" w:rsidTr="00BD731D">
        <w:trPr>
          <w:trHeight w:val="288"/>
          <w:jc w:val="center"/>
        </w:trPr>
        <w:tc>
          <w:tcPr>
            <w:tcW w:w="12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31D" w:rsidRPr="00BD731D" w:rsidRDefault="00BD731D" w:rsidP="00950B64">
            <w:pPr>
              <w:widowControl/>
              <w:jc w:val="left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现场运维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√（注</w:t>
            </w:r>
            <w:r w:rsidRPr="00BD731D"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  <w:t>1</w:t>
            </w:r>
            <w:r w:rsidRPr="00BD731D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）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731D" w:rsidRPr="00BD731D" w:rsidRDefault="00BD731D" w:rsidP="00950B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</w:p>
        </w:tc>
      </w:tr>
    </w:tbl>
    <w:p w:rsidR="00BD731D" w:rsidRDefault="00BD731D">
      <w:pPr>
        <w:snapToGrid w:val="0"/>
        <w:ind w:firstLineChars="200" w:firstLine="480"/>
        <w:outlineLvl w:val="0"/>
        <w:rPr>
          <w:rFonts w:asciiTheme="minorEastAsia" w:eastAsiaTheme="minorEastAsia" w:hAnsiTheme="minorEastAsia" w:cstheme="minorEastAsia"/>
          <w:bCs/>
          <w:sz w:val="24"/>
          <w:szCs w:val="24"/>
        </w:rPr>
      </w:pPr>
      <w:r w:rsidRPr="00BD731D"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注1：我司统一全省自建和合建IDC机房的运维信息化手段以及现场驻点运维机制，合建方按我司标准提供其所属资产的现场运维服务。</w:t>
      </w:r>
    </w:p>
    <w:p w:rsidR="00BD731D" w:rsidRDefault="00BD731D">
      <w:pPr>
        <w:snapToGrid w:val="0"/>
        <w:ind w:firstLineChars="200" w:firstLine="480"/>
        <w:outlineLvl w:val="0"/>
        <w:rPr>
          <w:rFonts w:asciiTheme="minorEastAsia" w:eastAsiaTheme="minorEastAsia" w:hAnsiTheme="minorEastAsia" w:cstheme="minorEastAsia"/>
          <w:bCs/>
          <w:sz w:val="24"/>
          <w:szCs w:val="24"/>
        </w:rPr>
      </w:pPr>
    </w:p>
    <w:p w:rsidR="003D06A3" w:rsidRDefault="003D06A3"/>
    <w:sectPr w:rsidR="003D06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0AC" w:rsidRDefault="000A40AC" w:rsidP="006114F5">
      <w:pPr>
        <w:spacing w:line="240" w:lineRule="auto"/>
      </w:pPr>
      <w:r>
        <w:separator/>
      </w:r>
    </w:p>
  </w:endnote>
  <w:endnote w:type="continuationSeparator" w:id="0">
    <w:p w:rsidR="000A40AC" w:rsidRDefault="000A40AC" w:rsidP="006114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0AC" w:rsidRDefault="000A40AC" w:rsidP="006114F5">
      <w:pPr>
        <w:spacing w:line="240" w:lineRule="auto"/>
      </w:pPr>
      <w:r>
        <w:separator/>
      </w:r>
    </w:p>
  </w:footnote>
  <w:footnote w:type="continuationSeparator" w:id="0">
    <w:p w:rsidR="000A40AC" w:rsidRDefault="000A40AC" w:rsidP="006114F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CD722F"/>
    <w:rsid w:val="000A40AC"/>
    <w:rsid w:val="002B4F86"/>
    <w:rsid w:val="003D06A3"/>
    <w:rsid w:val="00466DFC"/>
    <w:rsid w:val="005008FC"/>
    <w:rsid w:val="00513CF6"/>
    <w:rsid w:val="005C45BE"/>
    <w:rsid w:val="006114F5"/>
    <w:rsid w:val="008D52EE"/>
    <w:rsid w:val="00A64D21"/>
    <w:rsid w:val="00BD731D"/>
    <w:rsid w:val="00BD736D"/>
    <w:rsid w:val="00DB166E"/>
    <w:rsid w:val="00DE10E5"/>
    <w:rsid w:val="52CD722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55C5C3E-4D95-482A-A951-4F2E25AC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ascii="Times New Roman" w:eastAsia="仿宋_GB2312" w:hAnsi="Times New Roman" w:cs="Times New Roman"/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rsid w:val="006114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114F5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6114F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114F5"/>
    <w:rPr>
      <w:rFonts w:ascii="Times New Roman" w:eastAsia="仿宋_GB2312" w:hAnsi="Times New Roman"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BD731D"/>
    <w:pPr>
      <w:spacing w:line="240" w:lineRule="auto"/>
      <w:ind w:firstLineChars="200" w:firstLine="420"/>
    </w:pPr>
    <w:rPr>
      <w:rFonts w:ascii="Calibri" w:eastAsia="宋体" w:hAnsi="Calibri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14</TotalTime>
  <Pages>2</Pages>
  <Words>132</Words>
  <Characters>754</Characters>
  <Application>Microsoft Office Word</Application>
  <DocSecurity>0</DocSecurity>
  <Lines>6</Lines>
  <Paragraphs>1</Paragraphs>
  <ScaleCrop>false</ScaleCrop>
  <Company>Lenovo</Company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</dc:creator>
  <cp:lastModifiedBy>dengwangyu@gd.cmcc</cp:lastModifiedBy>
  <cp:revision>10</cp:revision>
  <dcterms:created xsi:type="dcterms:W3CDTF">2018-11-17T03:13:00Z</dcterms:created>
  <dcterms:modified xsi:type="dcterms:W3CDTF">2024-07-10T00:38:00Z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